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0DA18" w14:textId="77777777" w:rsidR="00B24503" w:rsidRPr="00B24503" w:rsidRDefault="00B24503" w:rsidP="00B24503">
      <w:pPr>
        <w:jc w:val="both"/>
        <w:rPr>
          <w:rFonts w:ascii="Arial" w:hAnsi="Arial" w:cs="Arial"/>
          <w:b/>
          <w:bCs/>
          <w:sz w:val="24"/>
          <w:szCs w:val="24"/>
        </w:rPr>
      </w:pPr>
      <w:r w:rsidRPr="00B24503">
        <w:rPr>
          <w:rFonts w:ascii="Arial" w:hAnsi="Arial" w:cs="Arial"/>
          <w:b/>
          <w:bCs/>
          <w:sz w:val="24"/>
          <w:szCs w:val="24"/>
          <w:u w:val="single"/>
        </w:rPr>
        <w:t>ACTA Nº 69-2005</w:t>
      </w:r>
    </w:p>
    <w:p w14:paraId="683B7C78" w14:textId="77777777" w:rsidR="00B24503" w:rsidRPr="00B24503" w:rsidRDefault="00B24503" w:rsidP="00B24503">
      <w:pPr>
        <w:jc w:val="both"/>
        <w:rPr>
          <w:rFonts w:ascii="Arial" w:hAnsi="Arial" w:cs="Arial"/>
          <w:b/>
          <w:bCs/>
          <w:sz w:val="24"/>
          <w:szCs w:val="24"/>
        </w:rPr>
      </w:pPr>
      <w:r w:rsidRPr="00B24503">
        <w:rPr>
          <w:rFonts w:ascii="Arial" w:hAnsi="Arial" w:cs="Arial"/>
          <w:b/>
          <w:bCs/>
          <w:sz w:val="24"/>
          <w:szCs w:val="24"/>
        </w:rPr>
        <w:t> </w:t>
      </w:r>
    </w:p>
    <w:p w14:paraId="4D22F8CF" w14:textId="77777777" w:rsidR="00B24503" w:rsidRPr="00B24503" w:rsidRDefault="00B24503" w:rsidP="00B24503">
      <w:pPr>
        <w:jc w:val="both"/>
        <w:rPr>
          <w:rFonts w:ascii="Arial" w:hAnsi="Arial" w:cs="Arial"/>
          <w:b/>
          <w:bCs/>
          <w:sz w:val="24"/>
          <w:szCs w:val="24"/>
        </w:rPr>
      </w:pPr>
      <w:r w:rsidRPr="00B24503">
        <w:rPr>
          <w:rFonts w:ascii="Arial" w:hAnsi="Arial" w:cs="Arial"/>
          <w:b/>
          <w:bCs/>
          <w:i/>
          <w:iCs/>
          <w:sz w:val="24"/>
          <w:szCs w:val="24"/>
        </w:rPr>
        <w:t>Sesión ordinaria celebrada por el Tribunal Supremo de Elecciones a las nueve horas del catorce de julio del dos mil cinco, con asistencia de los señores Magistrados Fonseca Montoya, quien preside, Sobrado González, Casafont Odor, Rodríguez Chaverri y Del Castillo Riggioni. </w:t>
      </w:r>
    </w:p>
    <w:p w14:paraId="218C4568" w14:textId="77777777" w:rsidR="00B24503" w:rsidRDefault="00B24503" w:rsidP="00B24503">
      <w:pPr>
        <w:jc w:val="both"/>
        <w:rPr>
          <w:rFonts w:ascii="Arial" w:hAnsi="Arial" w:cs="Arial"/>
          <w:b/>
          <w:bCs/>
          <w:sz w:val="24"/>
          <w:szCs w:val="24"/>
        </w:rPr>
      </w:pPr>
    </w:p>
    <w:p w14:paraId="3A16A6C3" w14:textId="61735B8E" w:rsidR="00B24503" w:rsidRPr="00B24503" w:rsidRDefault="00B24503" w:rsidP="00B24503">
      <w:pPr>
        <w:jc w:val="both"/>
        <w:rPr>
          <w:rFonts w:ascii="Arial" w:hAnsi="Arial" w:cs="Arial"/>
          <w:sz w:val="24"/>
          <w:szCs w:val="24"/>
        </w:rPr>
      </w:pPr>
      <w:r w:rsidRPr="00B24503">
        <w:rPr>
          <w:rFonts w:ascii="Arial" w:hAnsi="Arial" w:cs="Arial"/>
          <w:b/>
          <w:bCs/>
          <w:sz w:val="24"/>
          <w:szCs w:val="24"/>
        </w:rPr>
        <w:t>d) Se dispone:</w:t>
      </w:r>
      <w:r w:rsidRPr="00B24503">
        <w:rPr>
          <w:rFonts w:ascii="Arial" w:hAnsi="Arial" w:cs="Arial"/>
          <w:sz w:val="24"/>
          <w:szCs w:val="24"/>
        </w:rPr>
        <w:t> A partir del estudio comparativo de diversas resoluciones adoptadas por este Tribunal en relación con las investigaciones preliminares, se evidenció la necesidad de definir aspectos formales para unificar su adecuada tramitación.</w:t>
      </w:r>
    </w:p>
    <w:p w14:paraId="12086C5F" w14:textId="77777777" w:rsidR="00B24503" w:rsidRPr="00B24503" w:rsidRDefault="00B24503" w:rsidP="00B24503">
      <w:pPr>
        <w:jc w:val="both"/>
        <w:rPr>
          <w:rFonts w:ascii="Arial" w:hAnsi="Arial" w:cs="Arial"/>
          <w:sz w:val="24"/>
          <w:szCs w:val="24"/>
        </w:rPr>
      </w:pPr>
      <w:r w:rsidRPr="00B24503">
        <w:rPr>
          <w:rFonts w:ascii="Arial" w:hAnsi="Arial" w:cs="Arial"/>
          <w:sz w:val="24"/>
          <w:szCs w:val="24"/>
        </w:rPr>
        <w:t>Ante la falta de regulación normativa expresa, jurisprudencialmente, en particular a través de los fallos de la Sala Constitucional, se reconoce la facultad implícita de la Administración Pública para realizar investigaciones preliminares, también denominadas indagaciones preliminares, instrucción o información previa, con el objeto de que cuente con elementos de juicio suficientes para tomar la decisión de iniciar o no un procedimiento administrativo sancionador.</w:t>
      </w:r>
    </w:p>
    <w:p w14:paraId="683230B5" w14:textId="77777777" w:rsidR="00B24503" w:rsidRPr="00B24503" w:rsidRDefault="00B24503" w:rsidP="00B24503">
      <w:pPr>
        <w:jc w:val="both"/>
        <w:rPr>
          <w:rFonts w:ascii="Arial" w:hAnsi="Arial" w:cs="Arial"/>
          <w:sz w:val="24"/>
          <w:szCs w:val="24"/>
        </w:rPr>
      </w:pPr>
      <w:r w:rsidRPr="00B24503">
        <w:rPr>
          <w:rFonts w:ascii="Arial" w:hAnsi="Arial" w:cs="Arial"/>
          <w:sz w:val="24"/>
          <w:szCs w:val="24"/>
        </w:rPr>
        <w:t>Algunos aspectos que caracterizan este tipo de gestiones, son los siguientes:</w:t>
      </w:r>
    </w:p>
    <w:p w14:paraId="6883726F"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Es una fase preliminar que servirá como base para determinar si se abre o no un procedimiento ordinario administrativo. Es decir, antes de que se tome la decisión de iniciar el procedimiento administrativo, la Administración realiza una investigación preliminar para que su resultado le sirva como motivo o fundamento del acto mediante el cual se ordena o se desestima iniciar el procedimiento administrativo.</w:t>
      </w:r>
    </w:p>
    <w:p w14:paraId="15C9EEA2"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El informe que brinde el órgano que realizó la investigación preliminar debe tenerse como un acto interno -preparatorio- para el órgano que tiene que tomar la decisión de iniciar o no el procedimiento. Eso exige que éste último lo analice y emita un pronunciamiento al respecto.</w:t>
      </w:r>
    </w:p>
    <w:p w14:paraId="7ED47C50"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Los informes, los estados de resultados y los auditorajes específicos, en el ejercicio de funciones de control interno o externo, son posibles, aún sin la intervención de los eventuales funcionarios involucrados, siempre y cuando sirvan como antecedente del acto inicial del procedimiento sancionatorio, si así lo determina procedente el órgano de fiscalización o el jerarca, según corresponda.</w:t>
      </w:r>
    </w:p>
    <w:p w14:paraId="38B2037F"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 xml:space="preserve">A través de la investigación preliminar, se recaba la información, se definen los hechos, se examinan los procedimientos seguidos y se establecen las posibles incorrecciones, pero es a través del procedimiento administrativo propiamente dicho, que se puede exigir la responsablidad o imponer una </w:t>
      </w:r>
      <w:r w:rsidRPr="00B24503">
        <w:rPr>
          <w:rFonts w:ascii="Arial" w:hAnsi="Arial" w:cs="Arial"/>
          <w:sz w:val="24"/>
          <w:szCs w:val="24"/>
        </w:rPr>
        <w:lastRenderedPageBreak/>
        <w:t>sanción, lo que necesariamente deberá hacerse con sujeción a las reglas del debido proceso, en el expediente que al efecto se abra.</w:t>
      </w:r>
    </w:p>
    <w:p w14:paraId="203CF17C"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El informe no constituye un acto administrativo definitivo que cause efectos en la esfera jurídica del accionante, pues en él no se resuelve sobre la responsabilidad de los funcionarios.</w:t>
      </w:r>
    </w:p>
    <w:p w14:paraId="5D08ED6C"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Una vez que se toma la decisión de iniciar el procedimiento ordinario, se deben imputar e intimar debidamente los cargos y los hechos.</w:t>
      </w:r>
    </w:p>
    <w:p w14:paraId="3A893E19" w14:textId="77777777" w:rsidR="00B24503" w:rsidRPr="00B24503" w:rsidRDefault="00B24503" w:rsidP="00B24503">
      <w:pPr>
        <w:numPr>
          <w:ilvl w:val="0"/>
          <w:numId w:val="1"/>
        </w:numPr>
        <w:jc w:val="both"/>
        <w:rPr>
          <w:rFonts w:ascii="Arial" w:hAnsi="Arial" w:cs="Arial"/>
          <w:sz w:val="24"/>
          <w:szCs w:val="24"/>
        </w:rPr>
      </w:pPr>
      <w:r w:rsidRPr="00B24503">
        <w:rPr>
          <w:rFonts w:ascii="Arial" w:hAnsi="Arial" w:cs="Arial"/>
          <w:sz w:val="24"/>
          <w:szCs w:val="24"/>
        </w:rPr>
        <w:t>La jurisprudencia constitucional ha reconocido, expresamente, que la investigación la pueden realizar los superiores o quienes ellos designen en calidad de órganos encargados de las diligencias, las auditorías, o la Contraloría General de la República.</w:t>
      </w:r>
    </w:p>
    <w:p w14:paraId="3E201435" w14:textId="77777777" w:rsidR="00B24503" w:rsidRPr="00B24503" w:rsidRDefault="00B24503" w:rsidP="00B24503">
      <w:pPr>
        <w:jc w:val="both"/>
        <w:rPr>
          <w:rFonts w:ascii="Arial" w:hAnsi="Arial" w:cs="Arial"/>
          <w:sz w:val="24"/>
          <w:szCs w:val="24"/>
        </w:rPr>
      </w:pPr>
      <w:r w:rsidRPr="00B24503">
        <w:rPr>
          <w:rFonts w:ascii="Arial" w:hAnsi="Arial" w:cs="Arial"/>
          <w:sz w:val="24"/>
          <w:szCs w:val="24"/>
        </w:rPr>
        <w:t>Con la finalidad de uniformar el procedimiento en relación con las futuras investigaciones preliminares que ordene este Tribunal, y ante la ausencia de normativa expresa que rija la materia, se dictan las siguientes directrices:</w:t>
      </w:r>
    </w:p>
    <w:p w14:paraId="6FB407E6" w14:textId="77777777" w:rsidR="00B24503" w:rsidRPr="00B24503" w:rsidRDefault="00B24503" w:rsidP="00B24503">
      <w:pPr>
        <w:jc w:val="both"/>
        <w:rPr>
          <w:rFonts w:ascii="Arial" w:hAnsi="Arial" w:cs="Arial"/>
          <w:sz w:val="24"/>
          <w:szCs w:val="24"/>
        </w:rPr>
      </w:pPr>
      <w:r w:rsidRPr="00B24503">
        <w:rPr>
          <w:rFonts w:ascii="Arial" w:hAnsi="Arial" w:cs="Arial"/>
          <w:b/>
          <w:bCs/>
          <w:sz w:val="24"/>
          <w:szCs w:val="24"/>
        </w:rPr>
        <w:t>1.-</w:t>
      </w:r>
      <w:r w:rsidRPr="00B24503">
        <w:rPr>
          <w:rFonts w:ascii="Arial" w:hAnsi="Arial" w:cs="Arial"/>
          <w:sz w:val="24"/>
          <w:szCs w:val="24"/>
        </w:rPr>
        <w:t> Ordenada la investigación preliminar por este Tribunal, el Secretario será el encargado de dar seguimiento a la labor de la Inspección Electoral o del órgano designado para tal efecto e informar al Tribunal sobre los avances en dicho proceso.</w:t>
      </w:r>
    </w:p>
    <w:p w14:paraId="689FE9CE" w14:textId="77777777" w:rsidR="00B24503" w:rsidRPr="00B24503" w:rsidRDefault="00B24503" w:rsidP="00B24503">
      <w:pPr>
        <w:jc w:val="both"/>
        <w:rPr>
          <w:rFonts w:ascii="Arial" w:hAnsi="Arial" w:cs="Arial"/>
          <w:sz w:val="24"/>
          <w:szCs w:val="24"/>
        </w:rPr>
      </w:pPr>
      <w:r w:rsidRPr="00B24503">
        <w:rPr>
          <w:rFonts w:ascii="Arial" w:hAnsi="Arial" w:cs="Arial"/>
          <w:b/>
          <w:bCs/>
          <w:sz w:val="24"/>
          <w:szCs w:val="24"/>
        </w:rPr>
        <w:t>2.-</w:t>
      </w:r>
      <w:r w:rsidRPr="00B24503">
        <w:rPr>
          <w:rFonts w:ascii="Arial" w:hAnsi="Arial" w:cs="Arial"/>
          <w:sz w:val="24"/>
          <w:szCs w:val="24"/>
        </w:rPr>
        <w:t> Dependiendo de la complejidad del caso en investigación, el Tribunal podrá establecer un plazo máximo para su realización.</w:t>
      </w:r>
    </w:p>
    <w:p w14:paraId="59D9695D" w14:textId="77777777" w:rsidR="00B24503" w:rsidRPr="00B24503" w:rsidRDefault="00B24503" w:rsidP="00B24503">
      <w:pPr>
        <w:jc w:val="both"/>
        <w:rPr>
          <w:rFonts w:ascii="Arial" w:hAnsi="Arial" w:cs="Arial"/>
          <w:sz w:val="24"/>
          <w:szCs w:val="24"/>
        </w:rPr>
      </w:pPr>
      <w:r w:rsidRPr="00B24503">
        <w:rPr>
          <w:rFonts w:ascii="Arial" w:hAnsi="Arial" w:cs="Arial"/>
          <w:b/>
          <w:bCs/>
          <w:sz w:val="24"/>
          <w:szCs w:val="24"/>
        </w:rPr>
        <w:t>3.-</w:t>
      </w:r>
      <w:r w:rsidRPr="00B24503">
        <w:rPr>
          <w:rFonts w:ascii="Arial" w:hAnsi="Arial" w:cs="Arial"/>
          <w:sz w:val="24"/>
          <w:szCs w:val="24"/>
        </w:rPr>
        <w:t> El órgano encargado de realizar la investigación preliminar deberá rendir, dentro del plazo prefijado, un informe final con su recomendación al Tribunal, el que decidirá, en única instancia y mediante resolución fundada, si ordena instaurar un procedimiento administrativo o archivar el asunto.</w:t>
      </w:r>
    </w:p>
    <w:p w14:paraId="04ABF359" w14:textId="77777777" w:rsidR="00B24503" w:rsidRPr="00B24503" w:rsidRDefault="00B24503" w:rsidP="00B24503">
      <w:pPr>
        <w:jc w:val="both"/>
        <w:rPr>
          <w:rFonts w:ascii="Arial" w:hAnsi="Arial" w:cs="Arial"/>
          <w:sz w:val="24"/>
          <w:szCs w:val="24"/>
        </w:rPr>
      </w:pPr>
      <w:r w:rsidRPr="00B24503">
        <w:rPr>
          <w:rFonts w:ascii="Arial" w:hAnsi="Arial" w:cs="Arial"/>
          <w:b/>
          <w:bCs/>
          <w:sz w:val="24"/>
          <w:szCs w:val="24"/>
        </w:rPr>
        <w:t>4.-</w:t>
      </w:r>
      <w:r w:rsidRPr="00B24503">
        <w:rPr>
          <w:rFonts w:ascii="Arial" w:hAnsi="Arial" w:cs="Arial"/>
          <w:sz w:val="24"/>
          <w:szCs w:val="24"/>
        </w:rPr>
        <w:t> De previo a adoptar la decisión que corresponda, el Tribunal podrá solicitar al órgano encargado de la investigación que precise, aclare o amplíe su informe. De igual forma, podrá gestionar la información adicional que considere pertinente.</w:t>
      </w:r>
    </w:p>
    <w:p w14:paraId="53A359A6" w14:textId="77777777" w:rsidR="00B24503" w:rsidRPr="00B24503" w:rsidRDefault="00B24503" w:rsidP="00B24503">
      <w:pPr>
        <w:jc w:val="both"/>
        <w:rPr>
          <w:rFonts w:ascii="Arial" w:hAnsi="Arial" w:cs="Arial"/>
          <w:sz w:val="24"/>
          <w:szCs w:val="24"/>
        </w:rPr>
      </w:pPr>
      <w:r w:rsidRPr="00B24503">
        <w:rPr>
          <w:rFonts w:ascii="Arial" w:hAnsi="Arial" w:cs="Arial"/>
          <w:b/>
          <w:bCs/>
          <w:sz w:val="24"/>
          <w:szCs w:val="24"/>
        </w:rPr>
        <w:t>5.-</w:t>
      </w:r>
      <w:r w:rsidRPr="00B24503">
        <w:rPr>
          <w:rFonts w:ascii="Arial" w:hAnsi="Arial" w:cs="Arial"/>
          <w:sz w:val="24"/>
          <w:szCs w:val="24"/>
        </w:rPr>
        <w:t> El informe que rinda el órgano encargado de la investigación administrativa deberá contener, como mínimo, con base en los elementos recabados, los hechos que se pueden tener como probados, si los hubiere y su recomendación fundamentada. El informe no tendrá carácter vinculante.</w:t>
      </w:r>
    </w:p>
    <w:p w14:paraId="3CB3179C" w14:textId="77777777" w:rsidR="00B24503" w:rsidRPr="00B24503" w:rsidRDefault="00B24503" w:rsidP="00B24503">
      <w:pPr>
        <w:jc w:val="both"/>
        <w:rPr>
          <w:rFonts w:ascii="Arial" w:hAnsi="Arial" w:cs="Arial"/>
          <w:sz w:val="24"/>
          <w:szCs w:val="24"/>
        </w:rPr>
      </w:pPr>
      <w:r w:rsidRPr="00B24503">
        <w:rPr>
          <w:rFonts w:ascii="Arial" w:hAnsi="Arial" w:cs="Arial"/>
          <w:b/>
          <w:bCs/>
          <w:sz w:val="24"/>
          <w:szCs w:val="24"/>
        </w:rPr>
        <w:t>6.-</w:t>
      </w:r>
      <w:r w:rsidRPr="00B24503">
        <w:rPr>
          <w:rFonts w:ascii="Arial" w:hAnsi="Arial" w:cs="Arial"/>
          <w:sz w:val="24"/>
          <w:szCs w:val="24"/>
        </w:rPr>
        <w:t> El órgano encargado de realizar la investigación administrativa, abrirá un expediente, el que deberá estructurarse en forma ordenada y sistemática, para facilitar su consulta y fomentar los principios de control interno. Deberá haber una adecuada separación entre la prueba documental recabada, la prueba testimonial, si la hubiera, y la parte de conclusiones y recomendaciones propias del órgano investigador.</w:t>
      </w:r>
    </w:p>
    <w:p w14:paraId="3D9DA180" w14:textId="77777777" w:rsidR="00B24503" w:rsidRPr="00B24503" w:rsidRDefault="00B24503" w:rsidP="00B24503">
      <w:pPr>
        <w:jc w:val="both"/>
        <w:rPr>
          <w:rFonts w:ascii="Arial" w:hAnsi="Arial" w:cs="Arial"/>
          <w:sz w:val="24"/>
          <w:szCs w:val="24"/>
        </w:rPr>
      </w:pPr>
      <w:r w:rsidRPr="00B24503">
        <w:rPr>
          <w:rFonts w:ascii="Arial" w:hAnsi="Arial" w:cs="Arial"/>
          <w:sz w:val="24"/>
          <w:szCs w:val="24"/>
        </w:rPr>
        <w:lastRenderedPageBreak/>
        <w:t>En relación con este último punto, el Inspector Electoral investigará el formato que utiliza la Contraloría General de la República para los procedimientos administrativos y lo adecuará, en lo que proceda, a la investigación administrativa.</w:t>
      </w:r>
    </w:p>
    <w:p w14:paraId="63497F91" w14:textId="77777777" w:rsidR="00B24503" w:rsidRPr="00B24503" w:rsidRDefault="00B24503" w:rsidP="00B24503">
      <w:pPr>
        <w:jc w:val="both"/>
        <w:rPr>
          <w:rFonts w:ascii="Arial" w:hAnsi="Arial" w:cs="Arial"/>
          <w:sz w:val="24"/>
          <w:szCs w:val="24"/>
        </w:rPr>
      </w:pPr>
      <w:r w:rsidRPr="00B24503">
        <w:rPr>
          <w:rFonts w:ascii="Arial" w:hAnsi="Arial" w:cs="Arial"/>
          <w:sz w:val="24"/>
          <w:szCs w:val="24"/>
        </w:rPr>
        <w:t>Los requerimientos apuntados bajo el número 5 serán, en lo sucesivo, extensibles al informe final que la Inspección Electoral elabore en el marco de los procedimientos administrativos ordinarios. </w:t>
      </w:r>
      <w:r w:rsidRPr="00B24503">
        <w:rPr>
          <w:rFonts w:ascii="Arial" w:hAnsi="Arial" w:cs="Arial"/>
          <w:b/>
          <w:bCs/>
          <w:sz w:val="24"/>
          <w:szCs w:val="24"/>
        </w:rPr>
        <w:t>ACUERDO FIRME.</w:t>
      </w:r>
    </w:p>
    <w:sectPr w:rsidR="00B24503" w:rsidRPr="00B245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41342"/>
    <w:multiLevelType w:val="multilevel"/>
    <w:tmpl w:val="1D8C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5192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503"/>
    <w:rsid w:val="00114183"/>
    <w:rsid w:val="002449AA"/>
    <w:rsid w:val="003C348B"/>
    <w:rsid w:val="007D7A53"/>
    <w:rsid w:val="009C0799"/>
    <w:rsid w:val="00A37D2E"/>
    <w:rsid w:val="00B24503"/>
    <w:rsid w:val="00E03BAE"/>
    <w:rsid w:val="00F84139"/>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36DCD"/>
  <w15:chartTrackingRefBased/>
  <w15:docId w15:val="{E5BD925F-2F78-417D-A9FD-7733980F3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link w:val="Ttulo1Car"/>
    <w:uiPriority w:val="9"/>
    <w:qFormat/>
    <w:rsid w:val="00B245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245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2450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2450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2450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2450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2450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2450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2450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24503"/>
    <w:rPr>
      <w:rFonts w:asciiTheme="majorHAnsi" w:eastAsiaTheme="majorEastAsia" w:hAnsiTheme="majorHAnsi" w:cstheme="majorBidi"/>
      <w:noProof/>
      <w:color w:val="0F4761" w:themeColor="accent1" w:themeShade="BF"/>
      <w:sz w:val="40"/>
      <w:szCs w:val="40"/>
    </w:rPr>
  </w:style>
  <w:style w:type="character" w:customStyle="1" w:styleId="Ttulo2Car">
    <w:name w:val="Título 2 Car"/>
    <w:basedOn w:val="Fuentedeprrafopredeter"/>
    <w:link w:val="Ttulo2"/>
    <w:uiPriority w:val="9"/>
    <w:semiHidden/>
    <w:rsid w:val="00B24503"/>
    <w:rPr>
      <w:rFonts w:asciiTheme="majorHAnsi" w:eastAsiaTheme="majorEastAsia" w:hAnsiTheme="majorHAnsi" w:cstheme="majorBidi"/>
      <w:noProof/>
      <w:color w:val="0F4761" w:themeColor="accent1" w:themeShade="BF"/>
      <w:sz w:val="32"/>
      <w:szCs w:val="32"/>
    </w:rPr>
  </w:style>
  <w:style w:type="character" w:customStyle="1" w:styleId="Ttulo3Car">
    <w:name w:val="Título 3 Car"/>
    <w:basedOn w:val="Fuentedeprrafopredeter"/>
    <w:link w:val="Ttulo3"/>
    <w:uiPriority w:val="9"/>
    <w:semiHidden/>
    <w:rsid w:val="00B24503"/>
    <w:rPr>
      <w:rFonts w:eastAsiaTheme="majorEastAsia" w:cstheme="majorBidi"/>
      <w:noProof/>
      <w:color w:val="0F4761" w:themeColor="accent1" w:themeShade="BF"/>
      <w:sz w:val="28"/>
      <w:szCs w:val="28"/>
    </w:rPr>
  </w:style>
  <w:style w:type="character" w:customStyle="1" w:styleId="Ttulo4Car">
    <w:name w:val="Título 4 Car"/>
    <w:basedOn w:val="Fuentedeprrafopredeter"/>
    <w:link w:val="Ttulo4"/>
    <w:uiPriority w:val="9"/>
    <w:semiHidden/>
    <w:rsid w:val="00B24503"/>
    <w:rPr>
      <w:rFonts w:eastAsiaTheme="majorEastAsia" w:cstheme="majorBidi"/>
      <w:i/>
      <w:iCs/>
      <w:noProof/>
      <w:color w:val="0F4761" w:themeColor="accent1" w:themeShade="BF"/>
    </w:rPr>
  </w:style>
  <w:style w:type="character" w:customStyle="1" w:styleId="Ttulo5Car">
    <w:name w:val="Título 5 Car"/>
    <w:basedOn w:val="Fuentedeprrafopredeter"/>
    <w:link w:val="Ttulo5"/>
    <w:uiPriority w:val="9"/>
    <w:semiHidden/>
    <w:rsid w:val="00B24503"/>
    <w:rPr>
      <w:rFonts w:eastAsiaTheme="majorEastAsia" w:cstheme="majorBidi"/>
      <w:noProof/>
      <w:color w:val="0F4761" w:themeColor="accent1" w:themeShade="BF"/>
    </w:rPr>
  </w:style>
  <w:style w:type="character" w:customStyle="1" w:styleId="Ttulo6Car">
    <w:name w:val="Título 6 Car"/>
    <w:basedOn w:val="Fuentedeprrafopredeter"/>
    <w:link w:val="Ttulo6"/>
    <w:uiPriority w:val="9"/>
    <w:semiHidden/>
    <w:rsid w:val="00B24503"/>
    <w:rPr>
      <w:rFonts w:eastAsiaTheme="majorEastAsia" w:cstheme="majorBidi"/>
      <w:i/>
      <w:iCs/>
      <w:noProof/>
      <w:color w:val="595959" w:themeColor="text1" w:themeTint="A6"/>
    </w:rPr>
  </w:style>
  <w:style w:type="character" w:customStyle="1" w:styleId="Ttulo7Car">
    <w:name w:val="Título 7 Car"/>
    <w:basedOn w:val="Fuentedeprrafopredeter"/>
    <w:link w:val="Ttulo7"/>
    <w:uiPriority w:val="9"/>
    <w:semiHidden/>
    <w:rsid w:val="00B24503"/>
    <w:rPr>
      <w:rFonts w:eastAsiaTheme="majorEastAsia" w:cstheme="majorBidi"/>
      <w:noProof/>
      <w:color w:val="595959" w:themeColor="text1" w:themeTint="A6"/>
    </w:rPr>
  </w:style>
  <w:style w:type="character" w:customStyle="1" w:styleId="Ttulo8Car">
    <w:name w:val="Título 8 Car"/>
    <w:basedOn w:val="Fuentedeprrafopredeter"/>
    <w:link w:val="Ttulo8"/>
    <w:uiPriority w:val="9"/>
    <w:semiHidden/>
    <w:rsid w:val="00B24503"/>
    <w:rPr>
      <w:rFonts w:eastAsiaTheme="majorEastAsia" w:cstheme="majorBidi"/>
      <w:i/>
      <w:iCs/>
      <w:noProof/>
      <w:color w:val="272727" w:themeColor="text1" w:themeTint="D8"/>
    </w:rPr>
  </w:style>
  <w:style w:type="character" w:customStyle="1" w:styleId="Ttulo9Car">
    <w:name w:val="Título 9 Car"/>
    <w:basedOn w:val="Fuentedeprrafopredeter"/>
    <w:link w:val="Ttulo9"/>
    <w:uiPriority w:val="9"/>
    <w:semiHidden/>
    <w:rsid w:val="00B24503"/>
    <w:rPr>
      <w:rFonts w:eastAsiaTheme="majorEastAsia" w:cstheme="majorBidi"/>
      <w:noProof/>
      <w:color w:val="272727" w:themeColor="text1" w:themeTint="D8"/>
    </w:rPr>
  </w:style>
  <w:style w:type="paragraph" w:styleId="Ttulo">
    <w:name w:val="Title"/>
    <w:basedOn w:val="Normal"/>
    <w:next w:val="Normal"/>
    <w:link w:val="TtuloCar"/>
    <w:uiPriority w:val="10"/>
    <w:qFormat/>
    <w:rsid w:val="00B245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24503"/>
    <w:rPr>
      <w:rFonts w:asciiTheme="majorHAnsi" w:eastAsiaTheme="majorEastAsia" w:hAnsiTheme="majorHAnsi" w:cstheme="majorBidi"/>
      <w:noProof/>
      <w:spacing w:val="-10"/>
      <w:kern w:val="28"/>
      <w:sz w:val="56"/>
      <w:szCs w:val="56"/>
    </w:rPr>
  </w:style>
  <w:style w:type="paragraph" w:styleId="Subttulo">
    <w:name w:val="Subtitle"/>
    <w:basedOn w:val="Normal"/>
    <w:next w:val="Normal"/>
    <w:link w:val="SubttuloCar"/>
    <w:uiPriority w:val="11"/>
    <w:qFormat/>
    <w:rsid w:val="00B2450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24503"/>
    <w:rPr>
      <w:rFonts w:eastAsiaTheme="majorEastAsia" w:cstheme="majorBidi"/>
      <w:noProof/>
      <w:color w:val="595959" w:themeColor="text1" w:themeTint="A6"/>
      <w:spacing w:val="15"/>
      <w:sz w:val="28"/>
      <w:szCs w:val="28"/>
    </w:rPr>
  </w:style>
  <w:style w:type="paragraph" w:styleId="Cita">
    <w:name w:val="Quote"/>
    <w:basedOn w:val="Normal"/>
    <w:next w:val="Normal"/>
    <w:link w:val="CitaCar"/>
    <w:uiPriority w:val="29"/>
    <w:qFormat/>
    <w:rsid w:val="00B24503"/>
    <w:pPr>
      <w:spacing w:before="160"/>
      <w:jc w:val="center"/>
    </w:pPr>
    <w:rPr>
      <w:i/>
      <w:iCs/>
      <w:color w:val="404040" w:themeColor="text1" w:themeTint="BF"/>
    </w:rPr>
  </w:style>
  <w:style w:type="character" w:customStyle="1" w:styleId="CitaCar">
    <w:name w:val="Cita Car"/>
    <w:basedOn w:val="Fuentedeprrafopredeter"/>
    <w:link w:val="Cita"/>
    <w:uiPriority w:val="29"/>
    <w:rsid w:val="00B24503"/>
    <w:rPr>
      <w:i/>
      <w:iCs/>
      <w:noProof/>
      <w:color w:val="404040" w:themeColor="text1" w:themeTint="BF"/>
    </w:rPr>
  </w:style>
  <w:style w:type="paragraph" w:styleId="Prrafodelista">
    <w:name w:val="List Paragraph"/>
    <w:basedOn w:val="Normal"/>
    <w:uiPriority w:val="34"/>
    <w:qFormat/>
    <w:rsid w:val="00B24503"/>
    <w:pPr>
      <w:ind w:left="720"/>
      <w:contextualSpacing/>
    </w:pPr>
  </w:style>
  <w:style w:type="character" w:styleId="nfasisintenso">
    <w:name w:val="Intense Emphasis"/>
    <w:basedOn w:val="Fuentedeprrafopredeter"/>
    <w:uiPriority w:val="21"/>
    <w:qFormat/>
    <w:rsid w:val="00B24503"/>
    <w:rPr>
      <w:i/>
      <w:iCs/>
      <w:color w:val="0F4761" w:themeColor="accent1" w:themeShade="BF"/>
    </w:rPr>
  </w:style>
  <w:style w:type="paragraph" w:styleId="Citadestacada">
    <w:name w:val="Intense Quote"/>
    <w:basedOn w:val="Normal"/>
    <w:next w:val="Normal"/>
    <w:link w:val="CitadestacadaCar"/>
    <w:uiPriority w:val="30"/>
    <w:qFormat/>
    <w:rsid w:val="00B245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24503"/>
    <w:rPr>
      <w:i/>
      <w:iCs/>
      <w:noProof/>
      <w:color w:val="0F4761" w:themeColor="accent1" w:themeShade="BF"/>
    </w:rPr>
  </w:style>
  <w:style w:type="character" w:styleId="Referenciaintensa">
    <w:name w:val="Intense Reference"/>
    <w:basedOn w:val="Fuentedeprrafopredeter"/>
    <w:uiPriority w:val="32"/>
    <w:qFormat/>
    <w:rsid w:val="00B245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757">
      <w:bodyDiv w:val="1"/>
      <w:marLeft w:val="0"/>
      <w:marRight w:val="0"/>
      <w:marTop w:val="0"/>
      <w:marBottom w:val="0"/>
      <w:divBdr>
        <w:top w:val="none" w:sz="0" w:space="0" w:color="auto"/>
        <w:left w:val="none" w:sz="0" w:space="0" w:color="auto"/>
        <w:bottom w:val="none" w:sz="0" w:space="0" w:color="auto"/>
        <w:right w:val="none" w:sz="0" w:space="0" w:color="auto"/>
      </w:divBdr>
    </w:div>
    <w:div w:id="1493595698">
      <w:bodyDiv w:val="1"/>
      <w:marLeft w:val="0"/>
      <w:marRight w:val="0"/>
      <w:marTop w:val="0"/>
      <w:marBottom w:val="0"/>
      <w:divBdr>
        <w:top w:val="none" w:sz="0" w:space="0" w:color="auto"/>
        <w:left w:val="none" w:sz="0" w:space="0" w:color="auto"/>
        <w:bottom w:val="none" w:sz="0" w:space="0" w:color="auto"/>
        <w:right w:val="none" w:sz="0" w:space="0" w:color="auto"/>
      </w:divBdr>
    </w:div>
    <w:div w:id="2042626061">
      <w:bodyDiv w:val="1"/>
      <w:marLeft w:val="0"/>
      <w:marRight w:val="0"/>
      <w:marTop w:val="0"/>
      <w:marBottom w:val="0"/>
      <w:divBdr>
        <w:top w:val="none" w:sz="0" w:space="0" w:color="auto"/>
        <w:left w:val="none" w:sz="0" w:space="0" w:color="auto"/>
        <w:bottom w:val="none" w:sz="0" w:space="0" w:color="auto"/>
        <w:right w:val="none" w:sz="0" w:space="0" w:color="auto"/>
      </w:divBdr>
    </w:div>
    <w:div w:id="205831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841</Words>
  <Characters>4629</Characters>
  <Application>Microsoft Office Word</Application>
  <DocSecurity>0</DocSecurity>
  <Lines>38</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Mercedes Saenz Zuñiga</dc:creator>
  <cp:keywords/>
  <dc:description/>
  <cp:lastModifiedBy>Ana Mercedes Saenz Zuñiga</cp:lastModifiedBy>
  <cp:revision>2</cp:revision>
  <dcterms:created xsi:type="dcterms:W3CDTF">2025-03-13T20:40:00Z</dcterms:created>
  <dcterms:modified xsi:type="dcterms:W3CDTF">2025-03-13T20:44:00Z</dcterms:modified>
</cp:coreProperties>
</file>